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11986" w14:textId="77777777" w:rsidR="00037112" w:rsidRDefault="00037112">
      <w:pPr>
        <w:pStyle w:val="BodyText"/>
        <w:ind w:left="0"/>
        <w:rPr>
          <w:sz w:val="20"/>
        </w:rPr>
      </w:pPr>
    </w:p>
    <w:p w14:paraId="59311987" w14:textId="77777777" w:rsidR="00037112" w:rsidRDefault="00037112">
      <w:pPr>
        <w:pStyle w:val="BodyText"/>
        <w:spacing w:before="8"/>
        <w:ind w:left="0"/>
        <w:rPr>
          <w:sz w:val="27"/>
        </w:rPr>
      </w:pPr>
    </w:p>
    <w:p w14:paraId="59311988" w14:textId="77777777" w:rsidR="00037112" w:rsidRDefault="008710AA">
      <w:pPr>
        <w:spacing w:before="85"/>
        <w:ind w:left="117" w:right="161"/>
        <w:jc w:val="center"/>
        <w:rPr>
          <w:rFonts w:ascii="Arial"/>
          <w:b/>
          <w:sz w:val="48"/>
        </w:rPr>
      </w:pPr>
      <w:proofErr w:type="spellStart"/>
      <w:r>
        <w:rPr>
          <w:rFonts w:ascii="Arial"/>
          <w:b/>
          <w:spacing w:val="-17"/>
          <w:sz w:val="48"/>
        </w:rPr>
        <w:t>Fetal</w:t>
      </w:r>
      <w:proofErr w:type="spellEnd"/>
      <w:r>
        <w:rPr>
          <w:rFonts w:ascii="Arial"/>
          <w:b/>
          <w:spacing w:val="-17"/>
          <w:sz w:val="48"/>
        </w:rPr>
        <w:t xml:space="preserve"> </w:t>
      </w:r>
      <w:r>
        <w:rPr>
          <w:rFonts w:ascii="Arial"/>
          <w:b/>
          <w:spacing w:val="-14"/>
          <w:sz w:val="48"/>
        </w:rPr>
        <w:t xml:space="preserve">Alcohol </w:t>
      </w:r>
      <w:r>
        <w:rPr>
          <w:rFonts w:ascii="Arial"/>
          <w:b/>
          <w:spacing w:val="-16"/>
          <w:sz w:val="48"/>
        </w:rPr>
        <w:t xml:space="preserve">Spectrum </w:t>
      </w:r>
      <w:r>
        <w:rPr>
          <w:rFonts w:ascii="Arial"/>
          <w:b/>
          <w:spacing w:val="-15"/>
          <w:sz w:val="48"/>
        </w:rPr>
        <w:t>Disorders</w:t>
      </w:r>
      <w:r>
        <w:rPr>
          <w:rFonts w:ascii="Arial"/>
          <w:b/>
          <w:spacing w:val="-87"/>
          <w:sz w:val="48"/>
        </w:rPr>
        <w:t xml:space="preserve"> </w:t>
      </w:r>
      <w:r>
        <w:rPr>
          <w:rFonts w:ascii="Arial"/>
          <w:b/>
          <w:spacing w:val="-19"/>
          <w:sz w:val="48"/>
        </w:rPr>
        <w:t>(FASD)</w:t>
      </w:r>
    </w:p>
    <w:p w14:paraId="59311989" w14:textId="2CFF993C" w:rsidR="00037112" w:rsidRDefault="008710AA">
      <w:pPr>
        <w:spacing w:before="344"/>
        <w:ind w:left="103" w:right="161"/>
        <w:jc w:val="center"/>
        <w:rPr>
          <w:rFonts w:ascii="Arial"/>
          <w:sz w:val="30"/>
        </w:rPr>
      </w:pPr>
      <w:r>
        <w:rPr>
          <w:rFonts w:ascii="Arial"/>
          <w:sz w:val="30"/>
        </w:rPr>
        <w:t>Ca</w:t>
      </w:r>
      <w:r w:rsidR="00220315">
        <w:rPr>
          <w:rFonts w:ascii="Arial"/>
          <w:sz w:val="30"/>
        </w:rPr>
        <w:t>s</w:t>
      </w:r>
      <w:r>
        <w:rPr>
          <w:rFonts w:ascii="Arial"/>
          <w:sz w:val="30"/>
        </w:rPr>
        <w:t>e Summaries</w:t>
      </w:r>
    </w:p>
    <w:p w14:paraId="6AC3A7E4" w14:textId="77777777" w:rsidR="00360633" w:rsidRDefault="00360633" w:rsidP="0003060E">
      <w:pPr>
        <w:spacing w:before="224" w:line="276" w:lineRule="auto"/>
        <w:ind w:right="217"/>
      </w:pPr>
    </w:p>
    <w:p w14:paraId="587939BA" w14:textId="365CEFDE" w:rsidR="00360633" w:rsidRPr="00E01F39" w:rsidRDefault="007D73D7">
      <w:pPr>
        <w:spacing w:before="224" w:line="276" w:lineRule="auto"/>
        <w:ind w:left="111" w:right="217"/>
        <w:rPr>
          <w:sz w:val="24"/>
          <w:szCs w:val="24"/>
        </w:rPr>
      </w:pPr>
      <w:hyperlink r:id="rId7" w:history="1">
        <w:r w:rsidR="00E40E33" w:rsidRPr="00E01F39">
          <w:rPr>
            <w:rStyle w:val="Hyperlink"/>
            <w:b/>
            <w:bCs/>
            <w:i/>
            <w:iCs/>
            <w:sz w:val="24"/>
            <w:szCs w:val="24"/>
          </w:rPr>
          <w:t xml:space="preserve">R v </w:t>
        </w:r>
        <w:proofErr w:type="spellStart"/>
        <w:r w:rsidR="00E40E33" w:rsidRPr="00E01F39">
          <w:rPr>
            <w:rStyle w:val="Hyperlink"/>
            <w:b/>
            <w:bCs/>
            <w:i/>
            <w:iCs/>
            <w:sz w:val="24"/>
            <w:szCs w:val="24"/>
          </w:rPr>
          <w:t>Krey</w:t>
        </w:r>
        <w:proofErr w:type="spellEnd"/>
        <w:r w:rsidR="00E40E33" w:rsidRPr="00E01F39">
          <w:rPr>
            <w:rStyle w:val="Hyperlink"/>
            <w:b/>
            <w:bCs/>
            <w:i/>
            <w:iCs/>
            <w:sz w:val="24"/>
            <w:szCs w:val="24"/>
          </w:rPr>
          <w:t xml:space="preserve"> (No 4) </w:t>
        </w:r>
        <w:r w:rsidR="00E40E33" w:rsidRPr="00E01F39">
          <w:rPr>
            <w:rStyle w:val="Hyperlink"/>
            <w:b/>
            <w:bCs/>
            <w:sz w:val="24"/>
            <w:szCs w:val="24"/>
          </w:rPr>
          <w:t>[2021] NSWSC 826</w:t>
        </w:r>
      </w:hyperlink>
      <w:r w:rsidR="00E40E33" w:rsidRPr="00E01F39">
        <w:rPr>
          <w:sz w:val="24"/>
          <w:szCs w:val="24"/>
        </w:rPr>
        <w:t xml:space="preserve"> (</w:t>
      </w:r>
      <w:proofErr w:type="spellStart"/>
      <w:r w:rsidR="00E40E33" w:rsidRPr="00E01F39">
        <w:rPr>
          <w:sz w:val="24"/>
          <w:szCs w:val="24"/>
        </w:rPr>
        <w:t>Ierace</w:t>
      </w:r>
      <w:proofErr w:type="spellEnd"/>
      <w:r w:rsidR="00E40E33" w:rsidRPr="00E01F39">
        <w:rPr>
          <w:sz w:val="24"/>
          <w:szCs w:val="24"/>
        </w:rPr>
        <w:t xml:space="preserve"> J)</w:t>
      </w:r>
    </w:p>
    <w:p w14:paraId="42985BD7" w14:textId="77777777" w:rsidR="00E01F39" w:rsidRDefault="00E01F39" w:rsidP="00E01F39">
      <w:pPr>
        <w:spacing w:line="276" w:lineRule="auto"/>
        <w:ind w:left="111" w:right="217"/>
        <w:rPr>
          <w:i/>
          <w:iCs/>
          <w:color w:val="333333"/>
          <w:shd w:val="clear" w:color="auto" w:fill="FFFFFF"/>
        </w:rPr>
      </w:pPr>
    </w:p>
    <w:p w14:paraId="02E27556" w14:textId="5AD42540" w:rsidR="00360633" w:rsidRPr="00E01F39" w:rsidRDefault="00E40E33" w:rsidP="00E01F39">
      <w:pPr>
        <w:spacing w:line="276" w:lineRule="auto"/>
        <w:ind w:left="111" w:right="217"/>
        <w:rPr>
          <w:i/>
          <w:iCs/>
          <w:color w:val="333333"/>
          <w:sz w:val="24"/>
          <w:szCs w:val="24"/>
          <w:shd w:val="clear" w:color="auto" w:fill="FFFFFF"/>
        </w:rPr>
      </w:pPr>
      <w:r w:rsidRPr="00E01F39">
        <w:rPr>
          <w:i/>
          <w:iCs/>
          <w:color w:val="333333"/>
          <w:sz w:val="24"/>
          <w:szCs w:val="24"/>
          <w:shd w:val="clear" w:color="auto" w:fill="FFFFFF"/>
        </w:rPr>
        <w:t xml:space="preserve">Manslaughter – </w:t>
      </w:r>
      <w:r w:rsidR="0003060E">
        <w:rPr>
          <w:i/>
          <w:iCs/>
          <w:color w:val="333333"/>
          <w:sz w:val="24"/>
          <w:szCs w:val="24"/>
          <w:shd w:val="clear" w:color="auto" w:fill="FFFFFF"/>
        </w:rPr>
        <w:t>s</w:t>
      </w:r>
      <w:r w:rsidRPr="00E01F39">
        <w:rPr>
          <w:i/>
          <w:iCs/>
          <w:color w:val="333333"/>
          <w:sz w:val="24"/>
          <w:szCs w:val="24"/>
          <w:shd w:val="clear" w:color="auto" w:fill="FFFFFF"/>
        </w:rPr>
        <w:t>ubstantial impairment –</w:t>
      </w:r>
      <w:r w:rsidR="00E01F39" w:rsidRPr="00E01F39">
        <w:rPr>
          <w:i/>
          <w:iCs/>
          <w:color w:val="333333"/>
          <w:sz w:val="24"/>
          <w:szCs w:val="24"/>
          <w:shd w:val="clear" w:color="auto" w:fill="FFFFFF"/>
        </w:rPr>
        <w:t xml:space="preserve"> </w:t>
      </w:r>
      <w:r w:rsidRPr="00E01F39">
        <w:rPr>
          <w:i/>
          <w:iCs/>
          <w:color w:val="333333"/>
          <w:sz w:val="24"/>
          <w:szCs w:val="24"/>
          <w:shd w:val="clear" w:color="auto" w:fill="FFFFFF"/>
        </w:rPr>
        <w:t xml:space="preserve">offender diagnosed with </w:t>
      </w:r>
      <w:r w:rsidR="00E01F39" w:rsidRPr="00E01F39">
        <w:rPr>
          <w:i/>
          <w:iCs/>
          <w:color w:val="333333"/>
          <w:sz w:val="24"/>
          <w:szCs w:val="24"/>
          <w:shd w:val="clear" w:color="auto" w:fill="FFFFFF"/>
        </w:rPr>
        <w:t>FASD</w:t>
      </w:r>
      <w:r w:rsidRPr="00E01F39">
        <w:rPr>
          <w:i/>
          <w:iCs/>
          <w:color w:val="333333"/>
          <w:sz w:val="24"/>
          <w:szCs w:val="24"/>
          <w:shd w:val="clear" w:color="auto" w:fill="FFFFFF"/>
        </w:rPr>
        <w:t>, Complex Post-Traumatic Stress Disorder and intermittent explosive disorder </w:t>
      </w:r>
    </w:p>
    <w:p w14:paraId="776E0FC5" w14:textId="77777777" w:rsidR="00E01F39" w:rsidRPr="00E01F39" w:rsidRDefault="00E01F39" w:rsidP="00E01F39">
      <w:pPr>
        <w:spacing w:line="276" w:lineRule="auto"/>
        <w:ind w:left="111" w:right="217"/>
        <w:rPr>
          <w:i/>
          <w:iCs/>
          <w:color w:val="333333"/>
          <w:shd w:val="clear" w:color="auto" w:fill="FFFFFF"/>
        </w:rPr>
      </w:pPr>
    </w:p>
    <w:p w14:paraId="5A1D5CEE" w14:textId="70F8D308" w:rsidR="00E01F39" w:rsidRDefault="00E01F39" w:rsidP="00E01F39">
      <w:pPr>
        <w:pStyle w:val="ListParagraph"/>
        <w:numPr>
          <w:ilvl w:val="0"/>
          <w:numId w:val="2"/>
        </w:numPr>
        <w:spacing w:line="276" w:lineRule="auto"/>
        <w:ind w:right="215"/>
        <w:rPr>
          <w:color w:val="333333"/>
          <w:shd w:val="clear" w:color="auto" w:fill="FFFFFF"/>
        </w:rPr>
      </w:pPr>
      <w:r w:rsidRPr="00E01F39">
        <w:rPr>
          <w:color w:val="333333"/>
          <w:shd w:val="clear" w:color="auto" w:fill="FFFFFF"/>
        </w:rPr>
        <w:t>The offender has significant mental conditions that directly contributed to the offence</w:t>
      </w:r>
      <w:r w:rsidR="00126434">
        <w:rPr>
          <w:color w:val="333333"/>
          <w:shd w:val="clear" w:color="auto" w:fill="FFFFFF"/>
        </w:rPr>
        <w:t xml:space="preserve">: </w:t>
      </w:r>
      <w:r w:rsidRPr="00E01F39">
        <w:rPr>
          <w:color w:val="333333"/>
          <w:shd w:val="clear" w:color="auto" w:fill="FFFFFF"/>
        </w:rPr>
        <w:t xml:space="preserve"> FASD; complex PTSD; and intermittent explosive disorder. Those diagnoses and the impact on the offender of his deprived background, activate considerations of reduced moral culpability and lessen reflection of general deterrence and retribution in his sentence, pursuant to the principles recognised in </w:t>
      </w:r>
      <w:r w:rsidR="0003060E">
        <w:rPr>
          <w:i/>
          <w:iCs/>
          <w:color w:val="333333"/>
          <w:shd w:val="clear" w:color="auto" w:fill="FFFFFF"/>
        </w:rPr>
        <w:t>DPP</w:t>
      </w:r>
      <w:r w:rsidRPr="00E01F39">
        <w:rPr>
          <w:i/>
          <w:iCs/>
          <w:color w:val="333333"/>
          <w:shd w:val="clear" w:color="auto" w:fill="FFFFFF"/>
        </w:rPr>
        <w:t xml:space="preserve"> (</w:t>
      </w:r>
      <w:proofErr w:type="spellStart"/>
      <w:r w:rsidRPr="00E01F39">
        <w:rPr>
          <w:i/>
          <w:iCs/>
          <w:color w:val="333333"/>
          <w:shd w:val="clear" w:color="auto" w:fill="FFFFFF"/>
        </w:rPr>
        <w:t>Cth</w:t>
      </w:r>
      <w:proofErr w:type="spellEnd"/>
      <w:r w:rsidRPr="00E01F39">
        <w:rPr>
          <w:i/>
          <w:iCs/>
          <w:color w:val="333333"/>
          <w:shd w:val="clear" w:color="auto" w:fill="FFFFFF"/>
        </w:rPr>
        <w:t>) v De La Rosa</w:t>
      </w:r>
      <w:r w:rsidRPr="00E01F39">
        <w:rPr>
          <w:color w:val="333333"/>
          <w:shd w:val="clear" w:color="auto" w:fill="FFFFFF"/>
        </w:rPr>
        <w:t> </w:t>
      </w:r>
      <w:r w:rsidR="00126434">
        <w:rPr>
          <w:color w:val="333333"/>
          <w:shd w:val="clear" w:color="auto" w:fill="FFFFFF"/>
        </w:rPr>
        <w:t xml:space="preserve">(2010) 79 NSWLR 1 </w:t>
      </w:r>
      <w:r w:rsidRPr="00E01F39">
        <w:rPr>
          <w:color w:val="333333"/>
          <w:shd w:val="clear" w:color="auto" w:fill="FFFFFF"/>
        </w:rPr>
        <w:t>and </w:t>
      </w:r>
      <w:proofErr w:type="spellStart"/>
      <w:r w:rsidRPr="007662FC">
        <w:rPr>
          <w:b/>
          <w:bCs/>
          <w:i/>
          <w:iCs/>
          <w:color w:val="333333"/>
          <w:shd w:val="clear" w:color="auto" w:fill="FFFFFF"/>
        </w:rPr>
        <w:t>Bugmy</w:t>
      </w:r>
      <w:proofErr w:type="spellEnd"/>
      <w:r w:rsidR="00126434" w:rsidRPr="007662FC">
        <w:rPr>
          <w:b/>
          <w:bCs/>
          <w:i/>
          <w:iCs/>
          <w:color w:val="333333"/>
          <w:shd w:val="clear" w:color="auto" w:fill="FFFFFF"/>
        </w:rPr>
        <w:t xml:space="preserve"> v The Queen</w:t>
      </w:r>
      <w:r w:rsidR="00126434">
        <w:rPr>
          <w:i/>
          <w:iCs/>
          <w:color w:val="333333"/>
          <w:shd w:val="clear" w:color="auto" w:fill="FFFFFF"/>
        </w:rPr>
        <w:t xml:space="preserve"> </w:t>
      </w:r>
      <w:r w:rsidR="00126434">
        <w:rPr>
          <w:color w:val="333333"/>
          <w:shd w:val="clear" w:color="auto" w:fill="FFFFFF"/>
        </w:rPr>
        <w:t>(2013) 249 CLR 571</w:t>
      </w:r>
      <w:r w:rsidRPr="00E01F39">
        <w:rPr>
          <w:color w:val="333333"/>
          <w:shd w:val="clear" w:color="auto" w:fill="FFFFFF"/>
        </w:rPr>
        <w:t xml:space="preserve">: </w:t>
      </w:r>
      <w:r w:rsidRPr="000960AD">
        <w:rPr>
          <w:b/>
          <w:bCs/>
          <w:color w:val="333333"/>
          <w:shd w:val="clear" w:color="auto" w:fill="FFFFFF"/>
        </w:rPr>
        <w:t>at</w:t>
      </w:r>
      <w:r w:rsidRPr="00E01F39">
        <w:rPr>
          <w:color w:val="333333"/>
          <w:shd w:val="clear" w:color="auto" w:fill="FFFFFF"/>
        </w:rPr>
        <w:t xml:space="preserve"> </w:t>
      </w:r>
      <w:r w:rsidRPr="00126434">
        <w:rPr>
          <w:b/>
          <w:bCs/>
          <w:color w:val="333333"/>
          <w:shd w:val="clear" w:color="auto" w:fill="FFFFFF"/>
        </w:rPr>
        <w:t>[25], [98].</w:t>
      </w:r>
    </w:p>
    <w:p w14:paraId="2ADC1DA6" w14:textId="15D6EE10" w:rsidR="00E01F39" w:rsidRPr="007662FC" w:rsidRDefault="00E01F39" w:rsidP="00E01F39">
      <w:pPr>
        <w:pStyle w:val="ListParagraph"/>
        <w:numPr>
          <w:ilvl w:val="0"/>
          <w:numId w:val="2"/>
        </w:numPr>
        <w:spacing w:line="276" w:lineRule="auto"/>
        <w:ind w:right="215"/>
        <w:rPr>
          <w:color w:val="333333"/>
          <w:shd w:val="clear" w:color="auto" w:fill="FFFFFF"/>
        </w:rPr>
      </w:pPr>
      <w:r w:rsidRPr="00E01F39">
        <w:rPr>
          <w:color w:val="333333"/>
          <w:shd w:val="clear" w:color="auto" w:fill="FFFFFF"/>
        </w:rPr>
        <w:t xml:space="preserve">Expert report regarding offender’s behavioural traits throughout childhood characteristic of FASD: </w:t>
      </w:r>
      <w:r w:rsidRPr="000960AD">
        <w:rPr>
          <w:b/>
          <w:bCs/>
          <w:color w:val="333333"/>
          <w:shd w:val="clear" w:color="auto" w:fill="FFFFFF"/>
        </w:rPr>
        <w:t>at</w:t>
      </w:r>
      <w:r w:rsidRPr="00E01F39">
        <w:rPr>
          <w:color w:val="333333"/>
          <w:shd w:val="clear" w:color="auto" w:fill="FFFFFF"/>
        </w:rPr>
        <w:t xml:space="preserve"> </w:t>
      </w:r>
      <w:r w:rsidRPr="00126434">
        <w:rPr>
          <w:b/>
          <w:bCs/>
          <w:color w:val="333333"/>
          <w:shd w:val="clear" w:color="auto" w:fill="FFFFFF"/>
        </w:rPr>
        <w:t>[64]-[65].</w:t>
      </w:r>
    </w:p>
    <w:p w14:paraId="7177A9BC" w14:textId="16B78DE8" w:rsidR="007662FC" w:rsidRDefault="007662FC" w:rsidP="007662FC">
      <w:pPr>
        <w:pStyle w:val="ListParagraph"/>
        <w:spacing w:line="276" w:lineRule="auto"/>
        <w:ind w:right="215" w:firstLine="0"/>
        <w:rPr>
          <w:b/>
          <w:bCs/>
          <w:color w:val="333333"/>
          <w:shd w:val="clear" w:color="auto" w:fill="FFFFFF"/>
        </w:rPr>
      </w:pPr>
    </w:p>
    <w:p w14:paraId="6DE67341" w14:textId="3CE086B0" w:rsidR="007662FC" w:rsidRDefault="007662FC" w:rsidP="007662FC">
      <w:pPr>
        <w:pStyle w:val="ListParagraph"/>
        <w:spacing w:line="276" w:lineRule="auto"/>
        <w:ind w:right="215" w:firstLine="0"/>
        <w:rPr>
          <w:b/>
          <w:bCs/>
          <w:color w:val="333333"/>
          <w:shd w:val="clear" w:color="auto" w:fill="FFFFFF"/>
        </w:rPr>
      </w:pPr>
    </w:p>
    <w:p w14:paraId="0509F0C1" w14:textId="6C0E7510" w:rsidR="007662FC" w:rsidRPr="0003060E" w:rsidRDefault="007D73D7" w:rsidP="007662FC">
      <w:pPr>
        <w:pStyle w:val="NormalWeb"/>
        <w:spacing w:before="0" w:beforeAutospacing="0" w:after="80" w:afterAutospacing="0"/>
        <w:jc w:val="both"/>
        <w:rPr>
          <w:shd w:val="clear" w:color="auto" w:fill="FFFFFF"/>
        </w:rPr>
      </w:pPr>
      <w:hyperlink r:id="rId8" w:history="1">
        <w:proofErr w:type="spellStart"/>
        <w:r w:rsidR="007662FC" w:rsidRPr="0003060E">
          <w:rPr>
            <w:rStyle w:val="Hyperlink"/>
            <w:b/>
            <w:bCs/>
            <w:i/>
            <w:iCs/>
            <w:shd w:val="clear" w:color="auto" w:fill="FFFFFF"/>
          </w:rPr>
          <w:t>Hiemstra</w:t>
        </w:r>
        <w:proofErr w:type="spellEnd"/>
        <w:r w:rsidR="007662FC" w:rsidRPr="0003060E">
          <w:rPr>
            <w:rStyle w:val="Hyperlink"/>
            <w:b/>
            <w:bCs/>
            <w:i/>
            <w:iCs/>
            <w:shd w:val="clear" w:color="auto" w:fill="FFFFFF"/>
          </w:rPr>
          <w:t xml:space="preserve"> v The State of Western Australia</w:t>
        </w:r>
        <w:r w:rsidR="007662FC" w:rsidRPr="0003060E">
          <w:rPr>
            <w:rStyle w:val="Hyperlink"/>
            <w:shd w:val="clear" w:color="auto" w:fill="FFFFFF"/>
          </w:rPr>
          <w:t xml:space="preserve"> </w:t>
        </w:r>
        <w:r w:rsidR="007662FC" w:rsidRPr="0003060E">
          <w:rPr>
            <w:rStyle w:val="Hyperlink"/>
            <w:b/>
            <w:bCs/>
            <w:shd w:val="clear" w:color="auto" w:fill="FFFFFF"/>
          </w:rPr>
          <w:t>[2021] WASCA 96</w:t>
        </w:r>
      </w:hyperlink>
      <w:r w:rsidR="007662FC" w:rsidRPr="0003060E">
        <w:rPr>
          <w:shd w:val="clear" w:color="auto" w:fill="FFFFFF"/>
        </w:rPr>
        <w:t xml:space="preserve"> (Buss P, Mazza JA and Beech JA)</w:t>
      </w:r>
    </w:p>
    <w:p w14:paraId="2059BFA4" w14:textId="19B3615D" w:rsidR="007662FC" w:rsidRPr="0003060E" w:rsidRDefault="007662FC" w:rsidP="007662FC">
      <w:pPr>
        <w:pStyle w:val="NormalWeb"/>
        <w:spacing w:before="0" w:beforeAutospacing="0" w:after="80" w:afterAutospacing="0"/>
        <w:jc w:val="both"/>
        <w:rPr>
          <w:i/>
          <w:iCs/>
          <w:color w:val="263238"/>
        </w:rPr>
      </w:pPr>
      <w:r w:rsidRPr="0003060E">
        <w:rPr>
          <w:i/>
          <w:iCs/>
          <w:color w:val="333333"/>
          <w:shd w:val="clear" w:color="auto" w:fill="FFFFFF"/>
        </w:rPr>
        <w:t xml:space="preserve">Armed robbery - </w:t>
      </w:r>
      <w:r w:rsidRPr="0003060E">
        <w:rPr>
          <w:i/>
          <w:iCs/>
          <w:color w:val="000000"/>
          <w:shd w:val="clear" w:color="auto" w:fill="FFFFFF"/>
        </w:rPr>
        <w:t>FASD a mitigating factor decreasing moral blameworthiness – Appeal allowed</w:t>
      </w:r>
    </w:p>
    <w:p w14:paraId="2F08D255" w14:textId="055B26BE" w:rsidR="007662FC" w:rsidRPr="0003060E" w:rsidRDefault="007662FC" w:rsidP="007662FC">
      <w:pPr>
        <w:pStyle w:val="NormalWeb"/>
        <w:spacing w:before="0" w:beforeAutospacing="0" w:after="80" w:afterAutospacing="0"/>
        <w:jc w:val="both"/>
        <w:rPr>
          <w:sz w:val="22"/>
          <w:szCs w:val="22"/>
        </w:rPr>
      </w:pPr>
    </w:p>
    <w:p w14:paraId="69C201A9" w14:textId="77777777" w:rsidR="0031588F" w:rsidRPr="0003060E" w:rsidRDefault="0031588F" w:rsidP="0031588F">
      <w:pPr>
        <w:pStyle w:val="NormalWeb"/>
        <w:numPr>
          <w:ilvl w:val="0"/>
          <w:numId w:val="3"/>
        </w:numPr>
        <w:shd w:val="clear" w:color="auto" w:fill="FFFFFF"/>
        <w:spacing w:before="0" w:beforeAutospacing="0" w:after="80" w:afterAutospacing="0"/>
        <w:jc w:val="both"/>
        <w:rPr>
          <w:i/>
          <w:iCs/>
          <w:sz w:val="22"/>
          <w:szCs w:val="22"/>
        </w:rPr>
      </w:pPr>
      <w:r w:rsidRPr="0003060E">
        <w:rPr>
          <w:sz w:val="22"/>
          <w:szCs w:val="22"/>
        </w:rPr>
        <w:t>The Court allowed the appeal on the ground that the judge failed to give 'full weight' to the mitigation arising from the applicant's traumatic childhood (</w:t>
      </w:r>
      <w:proofErr w:type="spellStart"/>
      <w:r w:rsidRPr="0003060E">
        <w:rPr>
          <w:i/>
          <w:iCs/>
          <w:sz w:val="22"/>
          <w:szCs w:val="22"/>
        </w:rPr>
        <w:t>Bugmy</w:t>
      </w:r>
      <w:proofErr w:type="spellEnd"/>
      <w:r w:rsidRPr="0003060E">
        <w:rPr>
          <w:i/>
          <w:iCs/>
          <w:sz w:val="22"/>
          <w:szCs w:val="22"/>
        </w:rPr>
        <w:t xml:space="preserve"> v The Queen</w:t>
      </w:r>
      <w:r w:rsidRPr="0003060E">
        <w:rPr>
          <w:sz w:val="22"/>
          <w:szCs w:val="22"/>
        </w:rPr>
        <w:t>).</w:t>
      </w:r>
    </w:p>
    <w:p w14:paraId="4E99C569" w14:textId="06C6554A" w:rsidR="0031588F" w:rsidRPr="0003060E" w:rsidRDefault="0031588F" w:rsidP="0031588F">
      <w:pPr>
        <w:pStyle w:val="NormalWeb"/>
        <w:numPr>
          <w:ilvl w:val="0"/>
          <w:numId w:val="3"/>
        </w:numPr>
        <w:shd w:val="clear" w:color="auto" w:fill="FFFFFF"/>
        <w:spacing w:before="0" w:beforeAutospacing="0" w:after="80" w:afterAutospacing="0"/>
        <w:jc w:val="both"/>
        <w:rPr>
          <w:sz w:val="22"/>
          <w:szCs w:val="22"/>
        </w:rPr>
      </w:pPr>
      <w:r w:rsidRPr="0003060E">
        <w:rPr>
          <w:sz w:val="22"/>
          <w:szCs w:val="22"/>
          <w:shd w:val="clear" w:color="auto" w:fill="FFFFFF"/>
        </w:rPr>
        <w:t xml:space="preserve">The mitigation requiring 'full weight' included the appellant's FASD deficits which decreased moral blameworthiness for the offending. </w:t>
      </w:r>
      <w:r w:rsidRPr="0003060E">
        <w:rPr>
          <w:sz w:val="22"/>
          <w:szCs w:val="22"/>
        </w:rPr>
        <w:t xml:space="preserve">The judge incorrectly regarded it as relevant only to prospects of rehabilitation: </w:t>
      </w:r>
      <w:r w:rsidRPr="000960AD">
        <w:rPr>
          <w:b/>
          <w:bCs/>
          <w:sz w:val="22"/>
          <w:szCs w:val="22"/>
        </w:rPr>
        <w:t>at</w:t>
      </w:r>
      <w:r w:rsidRPr="0003060E">
        <w:rPr>
          <w:sz w:val="22"/>
          <w:szCs w:val="22"/>
        </w:rPr>
        <w:t xml:space="preserve"> </w:t>
      </w:r>
      <w:r w:rsidRPr="0003060E">
        <w:rPr>
          <w:b/>
          <w:bCs/>
          <w:sz w:val="22"/>
          <w:szCs w:val="22"/>
        </w:rPr>
        <w:t>[113]-[118].</w:t>
      </w:r>
    </w:p>
    <w:p w14:paraId="4E98977E" w14:textId="5536E10D" w:rsidR="0031588F" w:rsidRPr="0003060E" w:rsidRDefault="0003060E" w:rsidP="007662FC">
      <w:pPr>
        <w:pStyle w:val="NormalWeb"/>
        <w:numPr>
          <w:ilvl w:val="0"/>
          <w:numId w:val="3"/>
        </w:numPr>
        <w:shd w:val="clear" w:color="auto" w:fill="FFFFFF"/>
        <w:spacing w:before="0" w:beforeAutospacing="0" w:after="80" w:afterAutospacing="0"/>
        <w:jc w:val="both"/>
        <w:rPr>
          <w:bCs/>
          <w:sz w:val="22"/>
          <w:szCs w:val="22"/>
        </w:rPr>
      </w:pPr>
      <w:r w:rsidRPr="0003060E">
        <w:rPr>
          <w:sz w:val="22"/>
          <w:szCs w:val="22"/>
        </w:rPr>
        <w:t xml:space="preserve">Discussion of FASD and </w:t>
      </w:r>
      <w:hyperlink r:id="rId9">
        <w:r w:rsidRPr="0003060E">
          <w:rPr>
            <w:i/>
            <w:color w:val="0562C1"/>
            <w:sz w:val="22"/>
            <w:szCs w:val="22"/>
            <w:u w:val="thick" w:color="0562C1"/>
          </w:rPr>
          <w:t xml:space="preserve">LCM v State of WA </w:t>
        </w:r>
        <w:r w:rsidRPr="0003060E">
          <w:rPr>
            <w:color w:val="0562C1"/>
            <w:sz w:val="22"/>
            <w:szCs w:val="22"/>
            <w:u w:val="thick" w:color="0562C1"/>
          </w:rPr>
          <w:t>[2016] WASCA 164</w:t>
        </w:r>
      </w:hyperlink>
      <w:r w:rsidRPr="0003060E">
        <w:rPr>
          <w:bCs/>
          <w:sz w:val="22"/>
          <w:szCs w:val="22"/>
        </w:rPr>
        <w:t xml:space="preserve">; (2016) 262 A Crim R 1: </w:t>
      </w:r>
      <w:r w:rsidRPr="000960AD">
        <w:rPr>
          <w:b/>
          <w:sz w:val="22"/>
          <w:szCs w:val="22"/>
        </w:rPr>
        <w:t>at</w:t>
      </w:r>
      <w:r w:rsidRPr="0003060E">
        <w:rPr>
          <w:bCs/>
          <w:sz w:val="22"/>
          <w:szCs w:val="22"/>
        </w:rPr>
        <w:t xml:space="preserve"> </w:t>
      </w:r>
      <w:r w:rsidRPr="0003060E">
        <w:rPr>
          <w:b/>
          <w:sz w:val="22"/>
          <w:szCs w:val="22"/>
        </w:rPr>
        <w:t>[66]-[71]; [86].</w:t>
      </w:r>
    </w:p>
    <w:p w14:paraId="4A36417F" w14:textId="77777777" w:rsidR="0003060E" w:rsidRPr="0031588F" w:rsidRDefault="0003060E" w:rsidP="0003060E">
      <w:pPr>
        <w:pStyle w:val="NormalWeb"/>
        <w:shd w:val="clear" w:color="auto" w:fill="FFFFFF"/>
        <w:spacing w:before="0" w:beforeAutospacing="0" w:after="80" w:afterAutospacing="0"/>
        <w:ind w:left="720"/>
        <w:jc w:val="both"/>
        <w:rPr>
          <w:rFonts w:ascii="Arial" w:hAnsi="Arial" w:cs="Arial"/>
          <w:sz w:val="20"/>
          <w:szCs w:val="20"/>
        </w:rPr>
      </w:pPr>
    </w:p>
    <w:p w14:paraId="5931198C" w14:textId="2B12EE0D" w:rsidR="00037112" w:rsidRDefault="007D73D7">
      <w:pPr>
        <w:spacing w:before="224" w:line="276" w:lineRule="auto"/>
        <w:ind w:left="111" w:right="217"/>
        <w:rPr>
          <w:sz w:val="24"/>
        </w:rPr>
      </w:pPr>
      <w:hyperlink r:id="rId10">
        <w:r w:rsidR="008710AA">
          <w:rPr>
            <w:b/>
            <w:i/>
            <w:color w:val="0562C1"/>
            <w:sz w:val="24"/>
            <w:u w:val="thick" w:color="0562C1"/>
          </w:rPr>
          <w:t xml:space="preserve">LCM v State of WA </w:t>
        </w:r>
        <w:r w:rsidR="008710AA">
          <w:rPr>
            <w:b/>
            <w:color w:val="0562C1"/>
            <w:sz w:val="24"/>
            <w:u w:val="thick" w:color="0562C1"/>
          </w:rPr>
          <w:t>[2016] WASCA 164</w:t>
        </w:r>
      </w:hyperlink>
      <w:r w:rsidR="008710AA">
        <w:rPr>
          <w:b/>
          <w:sz w:val="24"/>
        </w:rPr>
        <w:t xml:space="preserve">; (2016) 262 A Crim R 1 </w:t>
      </w:r>
      <w:r w:rsidR="008710AA">
        <w:rPr>
          <w:sz w:val="24"/>
        </w:rPr>
        <w:t>(Mazza JA and Beech J; Martin CJ agreeing with additional</w:t>
      </w:r>
      <w:r w:rsidR="008710AA">
        <w:rPr>
          <w:spacing w:val="-2"/>
          <w:sz w:val="24"/>
        </w:rPr>
        <w:t xml:space="preserve"> </w:t>
      </w:r>
      <w:r w:rsidR="008710AA">
        <w:rPr>
          <w:sz w:val="24"/>
        </w:rPr>
        <w:t>comments)</w:t>
      </w:r>
    </w:p>
    <w:p w14:paraId="5931198D" w14:textId="77777777" w:rsidR="00037112" w:rsidRDefault="00037112">
      <w:pPr>
        <w:pStyle w:val="BodyText"/>
        <w:spacing w:before="11"/>
        <w:ind w:left="0"/>
        <w:rPr>
          <w:sz w:val="23"/>
        </w:rPr>
      </w:pPr>
    </w:p>
    <w:p w14:paraId="5931198E" w14:textId="77777777" w:rsidR="00037112" w:rsidRDefault="008710AA">
      <w:pPr>
        <w:pStyle w:val="Heading1"/>
      </w:pPr>
      <w:r>
        <w:t>Manslaughter of offender’s child – male, aged 15 – FASD a significant mitigating factor:</w:t>
      </w:r>
    </w:p>
    <w:p w14:paraId="5931198F" w14:textId="77777777" w:rsidR="00037112" w:rsidRDefault="008710AA">
      <w:pPr>
        <w:ind w:left="111"/>
        <w:rPr>
          <w:i/>
          <w:sz w:val="24"/>
        </w:rPr>
      </w:pPr>
      <w:r>
        <w:rPr>
          <w:b/>
          <w:i/>
          <w:sz w:val="24"/>
        </w:rPr>
        <w:t xml:space="preserve">at [2]; [132] </w:t>
      </w:r>
      <w:r>
        <w:rPr>
          <w:i/>
          <w:sz w:val="24"/>
        </w:rPr>
        <w:t>– Appeal allowed.</w:t>
      </w:r>
    </w:p>
    <w:p w14:paraId="59311990" w14:textId="77777777" w:rsidR="00037112" w:rsidRDefault="00037112">
      <w:pPr>
        <w:pStyle w:val="BodyText"/>
        <w:spacing w:before="9"/>
        <w:ind w:left="0"/>
        <w:rPr>
          <w:i/>
          <w:sz w:val="18"/>
        </w:rPr>
      </w:pPr>
    </w:p>
    <w:p w14:paraId="59311991" w14:textId="13940634" w:rsidR="00037112" w:rsidRDefault="008710AA">
      <w:pPr>
        <w:pStyle w:val="ListParagraph"/>
        <w:numPr>
          <w:ilvl w:val="0"/>
          <w:numId w:val="1"/>
        </w:numPr>
        <w:tabs>
          <w:tab w:val="left" w:pos="832"/>
        </w:tabs>
        <w:spacing w:before="101" w:line="273" w:lineRule="auto"/>
        <w:ind w:right="144"/>
        <w:jc w:val="both"/>
      </w:pPr>
      <w:r>
        <w:t>Comprehensive discussion of Australian and overseas cases and literature</w:t>
      </w:r>
      <w:r w:rsidR="000960AD">
        <w:t xml:space="preserve"> regarding FASD</w:t>
      </w:r>
      <w:r>
        <w:t xml:space="preserve">: </w:t>
      </w:r>
      <w:r>
        <w:rPr>
          <w:b/>
        </w:rPr>
        <w:t>at [3]-[25]</w:t>
      </w:r>
      <w:r w:rsidR="00E01F39">
        <w:rPr>
          <w:b/>
        </w:rPr>
        <w:t>.</w:t>
      </w:r>
    </w:p>
    <w:p w14:paraId="59311992" w14:textId="77777777" w:rsidR="00037112" w:rsidRDefault="008710AA">
      <w:pPr>
        <w:pStyle w:val="ListParagraph"/>
        <w:numPr>
          <w:ilvl w:val="0"/>
          <w:numId w:val="1"/>
        </w:numPr>
        <w:tabs>
          <w:tab w:val="left" w:pos="832"/>
        </w:tabs>
        <w:spacing w:before="2"/>
        <w:ind w:hanging="361"/>
        <w:jc w:val="both"/>
      </w:pPr>
      <w:r>
        <w:lastRenderedPageBreak/>
        <w:t xml:space="preserve">Court allowed tender of additional evidence relating to FASD: </w:t>
      </w:r>
      <w:r>
        <w:rPr>
          <w:b/>
        </w:rPr>
        <w:t>at</w:t>
      </w:r>
      <w:r>
        <w:rPr>
          <w:b/>
          <w:spacing w:val="-7"/>
        </w:rPr>
        <w:t xml:space="preserve"> </w:t>
      </w:r>
      <w:r>
        <w:rPr>
          <w:b/>
        </w:rPr>
        <w:t>[124]</w:t>
      </w:r>
      <w:r>
        <w:t>.</w:t>
      </w:r>
    </w:p>
    <w:p w14:paraId="0C467A53" w14:textId="77777777" w:rsidR="000960AD" w:rsidRDefault="008710AA" w:rsidP="000960AD">
      <w:pPr>
        <w:pStyle w:val="ListParagraph"/>
        <w:numPr>
          <w:ilvl w:val="0"/>
          <w:numId w:val="1"/>
        </w:numPr>
        <w:tabs>
          <w:tab w:val="left" w:pos="832"/>
        </w:tabs>
        <w:spacing w:before="38" w:line="276" w:lineRule="auto"/>
        <w:ind w:right="167"/>
        <w:jc w:val="both"/>
      </w:pPr>
      <w:r>
        <w:t>FASD is a mental impairment</w:t>
      </w:r>
      <w:r w:rsidRPr="00E01F39">
        <w:rPr>
          <w:bCs/>
        </w:rPr>
        <w:t>:</w:t>
      </w:r>
      <w:r>
        <w:rPr>
          <w:b/>
        </w:rPr>
        <w:t xml:space="preserve"> at</w:t>
      </w:r>
      <w:r>
        <w:rPr>
          <w:b/>
          <w:spacing w:val="1"/>
        </w:rPr>
        <w:t xml:space="preserve"> </w:t>
      </w:r>
      <w:r>
        <w:rPr>
          <w:b/>
        </w:rPr>
        <w:t>[121]</w:t>
      </w:r>
      <w:r>
        <w:t>.</w:t>
      </w:r>
      <w:r w:rsidR="00126434">
        <w:t xml:space="preserve"> </w:t>
      </w:r>
      <w:r>
        <w:t xml:space="preserve">FASD involves a spectrum of disorders. Blanket propositions about how FASD bears on the sentencing process should be avoided. Attention must be directed to details of the particular diagnosis of FASD, including nature and extent of specific disabilities and deficits, and how they bear upon the considerations relevant to sentence: </w:t>
      </w:r>
      <w:r w:rsidRPr="00126434">
        <w:rPr>
          <w:b/>
        </w:rPr>
        <w:t>at</w:t>
      </w:r>
      <w:r w:rsidRPr="00126434">
        <w:rPr>
          <w:b/>
          <w:spacing w:val="-3"/>
        </w:rPr>
        <w:t xml:space="preserve"> </w:t>
      </w:r>
      <w:r w:rsidRPr="00126434">
        <w:rPr>
          <w:b/>
        </w:rPr>
        <w:t>[123]</w:t>
      </w:r>
      <w:r>
        <w:t>.</w:t>
      </w:r>
    </w:p>
    <w:p w14:paraId="59311999" w14:textId="09481628" w:rsidR="00037112" w:rsidRDefault="008710AA" w:rsidP="000960AD">
      <w:pPr>
        <w:pStyle w:val="ListParagraph"/>
        <w:numPr>
          <w:ilvl w:val="0"/>
          <w:numId w:val="1"/>
        </w:numPr>
        <w:spacing w:before="38" w:line="276" w:lineRule="auto"/>
        <w:ind w:right="131"/>
        <w:jc w:val="both"/>
      </w:pPr>
      <w:r w:rsidRPr="000960AD">
        <w:rPr>
          <w:iCs/>
          <w:u w:val="single"/>
        </w:rPr>
        <w:t>FASD a mitigating factor</w:t>
      </w:r>
      <w:r>
        <w:t xml:space="preserve">: </w:t>
      </w:r>
      <w:r w:rsidRPr="000960AD">
        <w:rPr>
          <w:b/>
        </w:rPr>
        <w:t>at [132]</w:t>
      </w:r>
      <w:r w:rsidR="000960AD" w:rsidRPr="000960AD">
        <w:rPr>
          <w:b/>
        </w:rPr>
        <w:t xml:space="preserve">.  </w:t>
      </w:r>
      <w:r w:rsidR="000960AD" w:rsidRPr="000960AD">
        <w:rPr>
          <w:bCs/>
        </w:rPr>
        <w:t>FASD</w:t>
      </w:r>
      <w:r w:rsidR="000960AD" w:rsidRPr="000960AD">
        <w:rPr>
          <w:b/>
        </w:rPr>
        <w:t xml:space="preserve"> </w:t>
      </w:r>
      <w:r>
        <w:t xml:space="preserve">left appellant with significant deficits in cognitive, linguistic and executive functioning; compromised reasoning, logical thought and self-control: </w:t>
      </w:r>
      <w:r w:rsidRPr="000960AD">
        <w:rPr>
          <w:b/>
        </w:rPr>
        <w:t>at</w:t>
      </w:r>
      <w:r w:rsidRPr="000960AD">
        <w:rPr>
          <w:b/>
          <w:spacing w:val="1"/>
        </w:rPr>
        <w:t xml:space="preserve"> </w:t>
      </w:r>
      <w:r w:rsidRPr="000960AD">
        <w:rPr>
          <w:b/>
        </w:rPr>
        <w:t>[125]-[126]</w:t>
      </w:r>
      <w:r>
        <w:t>.</w:t>
      </w:r>
      <w:r w:rsidR="000960AD">
        <w:t xml:space="preserve"> </w:t>
      </w:r>
      <w:r>
        <w:t xml:space="preserve">FASD, and lived trauma, contributed to behaviour; a significant (but not sole) cause of offending: </w:t>
      </w:r>
      <w:r w:rsidRPr="000960AD">
        <w:rPr>
          <w:b/>
        </w:rPr>
        <w:t>at [127]</w:t>
      </w:r>
      <w:r>
        <w:t>.</w:t>
      </w:r>
      <w:r w:rsidR="000960AD">
        <w:t xml:space="preserve"> </w:t>
      </w:r>
      <w:r>
        <w:t xml:space="preserve">FASD impacted upon diminished moral culpability; moderated weight as to personal </w:t>
      </w:r>
      <w:r w:rsidRPr="000960AD">
        <w:rPr>
          <w:spacing w:val="-4"/>
        </w:rPr>
        <w:t xml:space="preserve">and </w:t>
      </w:r>
      <w:r>
        <w:t xml:space="preserve">general deterrence; diminished adverse impact of primary judge's findings that appellant acted 'deliberately' and 'violently'; remorse: </w:t>
      </w:r>
      <w:r w:rsidRPr="000960AD">
        <w:rPr>
          <w:b/>
        </w:rPr>
        <w:t>at</w:t>
      </w:r>
      <w:r w:rsidRPr="000960AD">
        <w:rPr>
          <w:b/>
          <w:spacing w:val="2"/>
        </w:rPr>
        <w:t xml:space="preserve"> </w:t>
      </w:r>
      <w:r w:rsidRPr="000960AD">
        <w:rPr>
          <w:b/>
        </w:rPr>
        <w:t>[127]</w:t>
      </w:r>
      <w:r>
        <w:t>.</w:t>
      </w:r>
    </w:p>
    <w:p w14:paraId="5931199A" w14:textId="77777777" w:rsidR="00037112" w:rsidRDefault="008710AA">
      <w:pPr>
        <w:pStyle w:val="ListParagraph"/>
        <w:numPr>
          <w:ilvl w:val="0"/>
          <w:numId w:val="1"/>
        </w:numPr>
        <w:tabs>
          <w:tab w:val="left" w:pos="831"/>
          <w:tab w:val="left" w:pos="832"/>
        </w:tabs>
        <w:spacing w:line="266" w:lineRule="exact"/>
        <w:ind w:hanging="361"/>
      </w:pPr>
      <w:r>
        <w:t xml:space="preserve">Rehabilitation: capacity for learning and positive change: </w:t>
      </w:r>
      <w:r>
        <w:rPr>
          <w:b/>
        </w:rPr>
        <w:t>at</w:t>
      </w:r>
      <w:r>
        <w:rPr>
          <w:b/>
          <w:spacing w:val="26"/>
        </w:rPr>
        <w:t xml:space="preserve"> </w:t>
      </w:r>
      <w:r>
        <w:rPr>
          <w:b/>
        </w:rPr>
        <w:t>[143]</w:t>
      </w:r>
      <w:r>
        <w:t>.</w:t>
      </w:r>
    </w:p>
    <w:p w14:paraId="785F196D" w14:textId="77777777" w:rsidR="00E01F39" w:rsidRDefault="00E01F39">
      <w:pPr>
        <w:spacing w:before="80" w:line="276" w:lineRule="auto"/>
        <w:ind w:left="111" w:right="217"/>
      </w:pPr>
    </w:p>
    <w:p w14:paraId="5931199C" w14:textId="65FB6503" w:rsidR="00037112" w:rsidRDefault="007D73D7">
      <w:pPr>
        <w:spacing w:before="80" w:line="276" w:lineRule="auto"/>
        <w:ind w:left="111" w:right="217"/>
        <w:rPr>
          <w:sz w:val="24"/>
        </w:rPr>
      </w:pPr>
      <w:hyperlink r:id="rId11">
        <w:proofErr w:type="spellStart"/>
        <w:r w:rsidR="008710AA">
          <w:rPr>
            <w:b/>
            <w:i/>
            <w:color w:val="0562C1"/>
            <w:sz w:val="24"/>
            <w:u w:val="thick" w:color="0562C1"/>
          </w:rPr>
          <w:t>Churnside</w:t>
        </w:r>
        <w:proofErr w:type="spellEnd"/>
        <w:r w:rsidR="008710AA">
          <w:rPr>
            <w:b/>
            <w:i/>
            <w:color w:val="0562C1"/>
            <w:sz w:val="24"/>
            <w:u w:val="thick" w:color="0562C1"/>
          </w:rPr>
          <w:t xml:space="preserve"> v State of Western Australia </w:t>
        </w:r>
        <w:r w:rsidR="008710AA">
          <w:rPr>
            <w:b/>
            <w:color w:val="0562C1"/>
            <w:sz w:val="24"/>
            <w:u w:val="thick" w:color="0562C1"/>
          </w:rPr>
          <w:t>[2016] WASCA 146</w:t>
        </w:r>
        <w:r w:rsidR="008710AA">
          <w:rPr>
            <w:b/>
            <w:color w:val="0562C1"/>
            <w:sz w:val="24"/>
          </w:rPr>
          <w:t xml:space="preserve"> </w:t>
        </w:r>
      </w:hyperlink>
      <w:r w:rsidR="008710AA">
        <w:rPr>
          <w:sz w:val="24"/>
        </w:rPr>
        <w:t>(Martin CJ; Mazza JA and Mitchell JA)</w:t>
      </w:r>
    </w:p>
    <w:p w14:paraId="5931199D" w14:textId="77777777" w:rsidR="00037112" w:rsidRDefault="00037112">
      <w:pPr>
        <w:pStyle w:val="BodyText"/>
        <w:spacing w:before="4"/>
        <w:ind w:left="0"/>
        <w:rPr>
          <w:sz w:val="27"/>
        </w:rPr>
      </w:pPr>
    </w:p>
    <w:p w14:paraId="5931199E" w14:textId="77777777" w:rsidR="00037112" w:rsidRDefault="008710AA">
      <w:pPr>
        <w:pStyle w:val="Heading1"/>
        <w:spacing w:before="1" w:line="278" w:lineRule="auto"/>
        <w:ind w:right="217"/>
      </w:pPr>
      <w:r>
        <w:t xml:space="preserve">Aggravated burglary – young Indigenous male – FASD - imprisonment unlikely to deter or have any impact on prospect of reoffending: </w:t>
      </w:r>
      <w:r>
        <w:rPr>
          <w:b/>
        </w:rPr>
        <w:t xml:space="preserve">at [69] </w:t>
      </w:r>
      <w:r>
        <w:t>– Appeal allowed</w:t>
      </w:r>
    </w:p>
    <w:p w14:paraId="5931199F" w14:textId="77777777" w:rsidR="00037112" w:rsidRDefault="00037112">
      <w:pPr>
        <w:pStyle w:val="BodyText"/>
        <w:ind w:left="0"/>
        <w:rPr>
          <w:i/>
          <w:sz w:val="27"/>
        </w:rPr>
      </w:pPr>
    </w:p>
    <w:p w14:paraId="593119A0" w14:textId="63FB876D" w:rsidR="00037112" w:rsidRDefault="00E01F39">
      <w:pPr>
        <w:pStyle w:val="ListParagraph"/>
        <w:numPr>
          <w:ilvl w:val="0"/>
          <w:numId w:val="1"/>
        </w:numPr>
        <w:tabs>
          <w:tab w:val="left" w:pos="831"/>
          <w:tab w:val="left" w:pos="832"/>
        </w:tabs>
        <w:spacing w:line="273" w:lineRule="auto"/>
        <w:ind w:right="309"/>
      </w:pPr>
      <w:r>
        <w:t xml:space="preserve">FASD / </w:t>
      </w:r>
      <w:r w:rsidR="008710AA">
        <w:t xml:space="preserve">‘Neurocognitive disorder’ exacerbated by family dysfunction: </w:t>
      </w:r>
      <w:r w:rsidR="008710AA">
        <w:rPr>
          <w:b/>
        </w:rPr>
        <w:t>at</w:t>
      </w:r>
      <w:r w:rsidR="008710AA">
        <w:rPr>
          <w:b/>
          <w:spacing w:val="13"/>
        </w:rPr>
        <w:t xml:space="preserve"> </w:t>
      </w:r>
      <w:r w:rsidR="008710AA">
        <w:rPr>
          <w:b/>
        </w:rPr>
        <w:t>[75]</w:t>
      </w:r>
      <w:r w:rsidR="008710AA">
        <w:t>.</w:t>
      </w:r>
    </w:p>
    <w:p w14:paraId="593119A1" w14:textId="20C7DB71" w:rsidR="00037112" w:rsidRDefault="008710AA">
      <w:pPr>
        <w:pStyle w:val="ListParagraph"/>
        <w:numPr>
          <w:ilvl w:val="0"/>
          <w:numId w:val="1"/>
        </w:numPr>
        <w:tabs>
          <w:tab w:val="left" w:pos="831"/>
          <w:tab w:val="left" w:pos="832"/>
        </w:tabs>
        <w:spacing w:before="1" w:line="276" w:lineRule="auto"/>
        <w:ind w:right="142"/>
      </w:pPr>
      <w:r>
        <w:t xml:space="preserve">Immediate term of imprisonment not appropriate. Cognitive deficits limit the general </w:t>
      </w:r>
      <w:r>
        <w:rPr>
          <w:spacing w:val="-4"/>
        </w:rPr>
        <w:t xml:space="preserve">and </w:t>
      </w:r>
      <w:r>
        <w:t xml:space="preserve">personal deterrent effect of imprisonment. Community protection would be short-term, as time in custody will do nothing to address a cycle of offending and imprisonment on release: </w:t>
      </w:r>
      <w:r>
        <w:rPr>
          <w:b/>
        </w:rPr>
        <w:t>at [6]; [69];</w:t>
      </w:r>
      <w:r>
        <w:rPr>
          <w:b/>
          <w:spacing w:val="-1"/>
        </w:rPr>
        <w:t xml:space="preserve"> </w:t>
      </w:r>
      <w:r>
        <w:rPr>
          <w:b/>
        </w:rPr>
        <w:t>[75]-[80]</w:t>
      </w:r>
      <w:r>
        <w:t>.</w:t>
      </w:r>
    </w:p>
    <w:p w14:paraId="593119A2" w14:textId="77777777" w:rsidR="00037112" w:rsidRDefault="008710AA">
      <w:pPr>
        <w:pStyle w:val="ListParagraph"/>
        <w:numPr>
          <w:ilvl w:val="0"/>
          <w:numId w:val="1"/>
        </w:numPr>
        <w:tabs>
          <w:tab w:val="left" w:pos="831"/>
          <w:tab w:val="left" w:pos="832"/>
        </w:tabs>
        <w:spacing w:line="240" w:lineRule="exact"/>
        <w:ind w:hanging="361"/>
      </w:pPr>
      <w:r>
        <w:t xml:space="preserve">Re-sentenced to community-based option: </w:t>
      </w:r>
      <w:r>
        <w:rPr>
          <w:b/>
        </w:rPr>
        <w:t>at</w:t>
      </w:r>
      <w:r>
        <w:rPr>
          <w:b/>
          <w:spacing w:val="-2"/>
        </w:rPr>
        <w:t xml:space="preserve"> </w:t>
      </w:r>
      <w:r>
        <w:rPr>
          <w:b/>
        </w:rPr>
        <w:t>[83]-[85]</w:t>
      </w:r>
      <w:r>
        <w:t>.</w:t>
      </w:r>
    </w:p>
    <w:p w14:paraId="593119A6" w14:textId="77777777" w:rsidR="00037112" w:rsidRDefault="00037112">
      <w:pPr>
        <w:pStyle w:val="BodyText"/>
        <w:ind w:left="0"/>
        <w:rPr>
          <w:sz w:val="26"/>
        </w:rPr>
      </w:pPr>
    </w:p>
    <w:p w14:paraId="593119A7" w14:textId="77777777" w:rsidR="00037112" w:rsidRDefault="00037112">
      <w:pPr>
        <w:pStyle w:val="BodyText"/>
        <w:spacing w:before="8"/>
        <w:ind w:left="0"/>
        <w:rPr>
          <w:sz w:val="30"/>
        </w:rPr>
      </w:pPr>
    </w:p>
    <w:p w14:paraId="593119A8" w14:textId="77777777" w:rsidR="00037112" w:rsidRDefault="007D73D7">
      <w:pPr>
        <w:spacing w:before="1"/>
        <w:ind w:left="111"/>
        <w:rPr>
          <w:sz w:val="24"/>
        </w:rPr>
      </w:pPr>
      <w:hyperlink r:id="rId12">
        <w:proofErr w:type="spellStart"/>
        <w:r w:rsidR="008710AA">
          <w:rPr>
            <w:b/>
            <w:i/>
            <w:color w:val="0562C1"/>
            <w:sz w:val="24"/>
            <w:u w:val="thick" w:color="0562C1"/>
          </w:rPr>
          <w:t>Pomare</w:t>
        </w:r>
        <w:proofErr w:type="spellEnd"/>
        <w:r w:rsidR="008710AA">
          <w:rPr>
            <w:b/>
            <w:i/>
            <w:color w:val="0562C1"/>
            <w:sz w:val="24"/>
            <w:u w:val="thick" w:color="0562C1"/>
          </w:rPr>
          <w:t xml:space="preserve"> v R </w:t>
        </w:r>
        <w:r w:rsidR="008710AA">
          <w:rPr>
            <w:b/>
            <w:color w:val="0562C1"/>
            <w:sz w:val="24"/>
            <w:u w:val="thick" w:color="0562C1"/>
          </w:rPr>
          <w:t>[2017] NZCA 155</w:t>
        </w:r>
      </w:hyperlink>
      <w:r w:rsidR="008710AA">
        <w:rPr>
          <w:b/>
          <w:color w:val="0562C1"/>
          <w:sz w:val="24"/>
        </w:rPr>
        <w:t xml:space="preserve"> </w:t>
      </w:r>
      <w:r w:rsidR="008710AA">
        <w:rPr>
          <w:sz w:val="24"/>
        </w:rPr>
        <w:t>(</w:t>
      </w:r>
      <w:proofErr w:type="spellStart"/>
      <w:r w:rsidR="008710AA">
        <w:rPr>
          <w:sz w:val="24"/>
        </w:rPr>
        <w:t>Randerson</w:t>
      </w:r>
      <w:proofErr w:type="spellEnd"/>
      <w:r w:rsidR="008710AA">
        <w:rPr>
          <w:sz w:val="24"/>
        </w:rPr>
        <w:t xml:space="preserve">, Clifford and </w:t>
      </w:r>
      <w:proofErr w:type="spellStart"/>
      <w:r w:rsidR="008710AA">
        <w:rPr>
          <w:sz w:val="24"/>
        </w:rPr>
        <w:t>Whata</w:t>
      </w:r>
      <w:proofErr w:type="spellEnd"/>
      <w:r w:rsidR="008710AA">
        <w:rPr>
          <w:sz w:val="24"/>
        </w:rPr>
        <w:t xml:space="preserve"> JJ)</w:t>
      </w:r>
    </w:p>
    <w:p w14:paraId="593119A9" w14:textId="77777777" w:rsidR="00037112" w:rsidRDefault="00037112">
      <w:pPr>
        <w:pStyle w:val="BodyText"/>
        <w:ind w:left="0"/>
        <w:rPr>
          <w:sz w:val="23"/>
        </w:rPr>
      </w:pPr>
    </w:p>
    <w:p w14:paraId="593119AA" w14:textId="77777777" w:rsidR="00037112" w:rsidRDefault="008710AA">
      <w:pPr>
        <w:pStyle w:val="Heading1"/>
        <w:spacing w:before="90"/>
      </w:pPr>
      <w:r>
        <w:t>Murder – male, aged 16 - relevance of FASD - culpability reduced</w:t>
      </w:r>
      <w:r>
        <w:rPr>
          <w:spacing w:val="53"/>
        </w:rPr>
        <w:t xml:space="preserve"> </w:t>
      </w:r>
      <w:r>
        <w:t>-</w:t>
      </w:r>
      <w:r>
        <w:rPr>
          <w:spacing w:val="53"/>
        </w:rPr>
        <w:t xml:space="preserve"> </w:t>
      </w:r>
      <w:r>
        <w:t>sentence</w:t>
      </w:r>
      <w:r>
        <w:rPr>
          <w:spacing w:val="53"/>
        </w:rPr>
        <w:t xml:space="preserve"> </w:t>
      </w:r>
      <w:r>
        <w:t>not</w:t>
      </w:r>
    </w:p>
    <w:p w14:paraId="593119AB" w14:textId="77777777" w:rsidR="00037112" w:rsidRDefault="008710AA">
      <w:pPr>
        <w:ind w:left="111"/>
        <w:rPr>
          <w:i/>
          <w:sz w:val="24"/>
        </w:rPr>
      </w:pPr>
      <w:r>
        <w:rPr>
          <w:i/>
          <w:sz w:val="24"/>
        </w:rPr>
        <w:t>manifestly excessive - Appeal dismissed.</w:t>
      </w:r>
    </w:p>
    <w:p w14:paraId="593119AC" w14:textId="77777777" w:rsidR="00037112" w:rsidRDefault="00037112">
      <w:pPr>
        <w:pStyle w:val="BodyText"/>
        <w:spacing w:before="10"/>
        <w:ind w:left="0"/>
        <w:rPr>
          <w:i/>
          <w:sz w:val="18"/>
        </w:rPr>
      </w:pPr>
    </w:p>
    <w:p w14:paraId="593119AD" w14:textId="77777777" w:rsidR="00037112" w:rsidRDefault="008710AA">
      <w:pPr>
        <w:pStyle w:val="ListParagraph"/>
        <w:numPr>
          <w:ilvl w:val="0"/>
          <w:numId w:val="1"/>
        </w:numPr>
        <w:tabs>
          <w:tab w:val="left" w:pos="831"/>
          <w:tab w:val="left" w:pos="832"/>
        </w:tabs>
        <w:spacing w:before="101" w:line="273" w:lineRule="auto"/>
        <w:ind w:right="153"/>
      </w:pPr>
      <w:r>
        <w:t xml:space="preserve">Court accepts expert diagnosis of FASD and impact of offender’s FASD: </w:t>
      </w:r>
      <w:r>
        <w:rPr>
          <w:b/>
        </w:rPr>
        <w:t>at [18]-[27]</w:t>
      </w:r>
      <w:r>
        <w:t>.</w:t>
      </w:r>
      <w:r>
        <w:rPr>
          <w:u w:val="single"/>
        </w:rPr>
        <w:t xml:space="preserve"> Offending</w:t>
      </w:r>
      <w:r>
        <w:t xml:space="preserve">. Impaired reasoning powers significantly reduced capacity to understand </w:t>
      </w:r>
      <w:r>
        <w:rPr>
          <w:spacing w:val="-3"/>
        </w:rPr>
        <w:t xml:space="preserve">cause </w:t>
      </w:r>
      <w:r>
        <w:t xml:space="preserve">and effect and the likely impact of his actions: </w:t>
      </w:r>
      <w:r>
        <w:rPr>
          <w:b/>
        </w:rPr>
        <w:t>at</w:t>
      </w:r>
      <w:r>
        <w:rPr>
          <w:b/>
          <w:spacing w:val="-4"/>
        </w:rPr>
        <w:t xml:space="preserve"> </w:t>
      </w:r>
      <w:r>
        <w:rPr>
          <w:b/>
        </w:rPr>
        <w:t>[22]</w:t>
      </w:r>
      <w:r>
        <w:t>.</w:t>
      </w:r>
    </w:p>
    <w:p w14:paraId="593119AE" w14:textId="77777777" w:rsidR="00037112" w:rsidRDefault="008710AA">
      <w:pPr>
        <w:pStyle w:val="BodyText"/>
        <w:spacing w:before="5"/>
      </w:pPr>
      <w:r>
        <w:rPr>
          <w:u w:val="single"/>
        </w:rPr>
        <w:t>Remorse</w:t>
      </w:r>
      <w:r>
        <w:t>. “late guilty plea and slowness to acknowledge actions influenced by FASD”: at</w:t>
      </w:r>
    </w:p>
    <w:p w14:paraId="593119AF" w14:textId="77777777" w:rsidR="00037112" w:rsidRDefault="008710AA">
      <w:pPr>
        <w:spacing w:before="38"/>
        <w:ind w:left="831"/>
      </w:pPr>
      <w:r>
        <w:rPr>
          <w:b/>
        </w:rPr>
        <w:t>[21], [27]</w:t>
      </w:r>
      <w:r>
        <w:t>.</w:t>
      </w:r>
    </w:p>
    <w:p w14:paraId="593119B0" w14:textId="77777777" w:rsidR="00037112" w:rsidRDefault="008710AA">
      <w:pPr>
        <w:pStyle w:val="BodyText"/>
        <w:spacing w:before="38" w:line="276" w:lineRule="auto"/>
        <w:ind w:right="217"/>
      </w:pPr>
      <w:r>
        <w:rPr>
          <w:u w:val="single"/>
        </w:rPr>
        <w:t>Custodial conditions</w:t>
      </w:r>
      <w:r>
        <w:t xml:space="preserve">. Prison will be more crushing than young offenders without a </w:t>
      </w:r>
      <w:proofErr w:type="spellStart"/>
      <w:r>
        <w:t>neurodisability</w:t>
      </w:r>
      <w:proofErr w:type="spellEnd"/>
      <w:r>
        <w:t xml:space="preserve">, needs a high level of care and treatment: </w:t>
      </w:r>
      <w:r>
        <w:rPr>
          <w:b/>
        </w:rPr>
        <w:t>at [23]</w:t>
      </w:r>
      <w:r>
        <w:t>.</w:t>
      </w:r>
    </w:p>
    <w:p w14:paraId="593119B1" w14:textId="77777777" w:rsidR="00037112" w:rsidRDefault="008710AA">
      <w:pPr>
        <w:pStyle w:val="BodyText"/>
        <w:spacing w:line="276" w:lineRule="auto"/>
        <w:ind w:right="217"/>
      </w:pPr>
      <w:r>
        <w:rPr>
          <w:u w:val="single"/>
        </w:rPr>
        <w:t>Rehabilitation</w:t>
      </w:r>
      <w:r>
        <w:t xml:space="preserve">. Good rehabilitative prospects; “persons with FASD are not inherently dangerous”: </w:t>
      </w:r>
      <w:r>
        <w:rPr>
          <w:b/>
        </w:rPr>
        <w:t>at [23]</w:t>
      </w:r>
      <w:r>
        <w:t>.</w:t>
      </w:r>
    </w:p>
    <w:p w14:paraId="593119B2" w14:textId="790836A0" w:rsidR="00037112" w:rsidRDefault="008710AA">
      <w:pPr>
        <w:pStyle w:val="BodyText"/>
        <w:spacing w:line="276" w:lineRule="auto"/>
        <w:ind w:right="151"/>
      </w:pPr>
      <w:r>
        <w:rPr>
          <w:u w:val="single"/>
        </w:rPr>
        <w:t>Further</w:t>
      </w:r>
      <w:r>
        <w:t xml:space="preserve">. As well as primary brain damage, full range of secondary disabilities including school failure, substance abuse, trouble with law and victimised as a consequence of undiagnosed and untreated FASD. These resulting difficulties have been severe, pervasive </w:t>
      </w:r>
      <w:r>
        <w:lastRenderedPageBreak/>
        <w:t xml:space="preserve">and lifelong: </w:t>
      </w:r>
      <w:r>
        <w:rPr>
          <w:b/>
        </w:rPr>
        <w:t>at</w:t>
      </w:r>
      <w:r>
        <w:rPr>
          <w:b/>
          <w:spacing w:val="-2"/>
        </w:rPr>
        <w:t xml:space="preserve"> </w:t>
      </w:r>
      <w:r>
        <w:rPr>
          <w:b/>
        </w:rPr>
        <w:t>[18]</w:t>
      </w:r>
      <w:r>
        <w:t>.</w:t>
      </w:r>
    </w:p>
    <w:p w14:paraId="593119B3" w14:textId="77777777" w:rsidR="00037112" w:rsidRDefault="008710AA">
      <w:pPr>
        <w:pStyle w:val="ListParagraph"/>
        <w:numPr>
          <w:ilvl w:val="0"/>
          <w:numId w:val="1"/>
        </w:numPr>
        <w:tabs>
          <w:tab w:val="left" w:pos="832"/>
        </w:tabs>
        <w:spacing w:before="2" w:line="276" w:lineRule="auto"/>
        <w:ind w:right="153"/>
        <w:jc w:val="both"/>
      </w:pPr>
      <w:r>
        <w:t xml:space="preserve">Given expert opinion that offending was linked to FASD and that a lengthy term of imprisonment would have a crushing effect, it was available to the sentencing judge to provide a larger combined discount for youth and psychological condition: </w:t>
      </w:r>
      <w:r>
        <w:rPr>
          <w:b/>
        </w:rPr>
        <w:t>at [24]</w:t>
      </w:r>
      <w:r>
        <w:t xml:space="preserve">. Culpability is reduced because of FASD and youth: </w:t>
      </w:r>
      <w:r>
        <w:rPr>
          <w:b/>
        </w:rPr>
        <w:t>at</w:t>
      </w:r>
      <w:r>
        <w:rPr>
          <w:b/>
          <w:spacing w:val="-7"/>
        </w:rPr>
        <w:t xml:space="preserve"> </w:t>
      </w:r>
      <w:r>
        <w:rPr>
          <w:b/>
        </w:rPr>
        <w:t>[30]</w:t>
      </w:r>
      <w:r>
        <w:t>.</w:t>
      </w:r>
    </w:p>
    <w:p w14:paraId="593119B4" w14:textId="3ED62118" w:rsidR="00037112" w:rsidRDefault="008710AA">
      <w:pPr>
        <w:pStyle w:val="ListParagraph"/>
        <w:numPr>
          <w:ilvl w:val="0"/>
          <w:numId w:val="1"/>
        </w:numPr>
        <w:tabs>
          <w:tab w:val="left" w:pos="832"/>
        </w:tabs>
        <w:spacing w:line="265" w:lineRule="exact"/>
        <w:ind w:hanging="361"/>
        <w:jc w:val="both"/>
      </w:pPr>
      <w:r>
        <w:t xml:space="preserve">However, final sentence not manifestly excessive: </w:t>
      </w:r>
      <w:r>
        <w:rPr>
          <w:b/>
        </w:rPr>
        <w:t>at</w:t>
      </w:r>
      <w:r>
        <w:rPr>
          <w:b/>
          <w:spacing w:val="-4"/>
        </w:rPr>
        <w:t xml:space="preserve"> </w:t>
      </w:r>
      <w:r>
        <w:rPr>
          <w:b/>
        </w:rPr>
        <w:t>[30]</w:t>
      </w:r>
      <w:r>
        <w:t>.</w:t>
      </w:r>
    </w:p>
    <w:p w14:paraId="7AF0014F" w14:textId="77777777" w:rsidR="007D73D7" w:rsidRDefault="007D73D7">
      <w:pPr>
        <w:spacing w:before="80" w:line="276" w:lineRule="auto"/>
        <w:ind w:left="111" w:right="170"/>
        <w:jc w:val="both"/>
      </w:pPr>
    </w:p>
    <w:p w14:paraId="593119B6" w14:textId="5A72A34F" w:rsidR="00037112" w:rsidRDefault="007D73D7">
      <w:pPr>
        <w:spacing w:before="80" w:line="276" w:lineRule="auto"/>
        <w:ind w:left="111" w:right="170"/>
        <w:jc w:val="both"/>
        <w:rPr>
          <w:sz w:val="24"/>
        </w:rPr>
      </w:pPr>
      <w:hyperlink r:id="rId13">
        <w:r w:rsidR="008710AA">
          <w:rPr>
            <w:b/>
            <w:i/>
            <w:color w:val="0562C1"/>
            <w:sz w:val="24"/>
            <w:u w:val="thick" w:color="0562C1"/>
          </w:rPr>
          <w:t xml:space="preserve">R v MBQ; ex </w:t>
        </w:r>
        <w:proofErr w:type="spellStart"/>
        <w:r w:rsidR="008710AA">
          <w:rPr>
            <w:b/>
            <w:i/>
            <w:color w:val="0562C1"/>
            <w:sz w:val="24"/>
            <w:u w:val="thick" w:color="0562C1"/>
          </w:rPr>
          <w:t>parte</w:t>
        </w:r>
        <w:proofErr w:type="spellEnd"/>
        <w:r w:rsidR="008710AA">
          <w:rPr>
            <w:b/>
            <w:i/>
            <w:color w:val="0562C1"/>
            <w:sz w:val="24"/>
            <w:u w:val="thick" w:color="0562C1"/>
          </w:rPr>
          <w:t xml:space="preserve"> A-G (Qld) </w:t>
        </w:r>
        <w:r w:rsidR="008710AA">
          <w:rPr>
            <w:b/>
            <w:color w:val="0562C1"/>
            <w:sz w:val="24"/>
            <w:u w:val="thick" w:color="0562C1"/>
          </w:rPr>
          <w:t>[2012] QCA 202</w:t>
        </w:r>
        <w:r w:rsidR="008710AA">
          <w:rPr>
            <w:b/>
            <w:color w:val="0562C1"/>
            <w:sz w:val="24"/>
          </w:rPr>
          <w:t xml:space="preserve"> </w:t>
        </w:r>
      </w:hyperlink>
      <w:r w:rsidR="008710AA">
        <w:rPr>
          <w:sz w:val="24"/>
        </w:rPr>
        <w:t xml:space="preserve">(Margaret McMurdo P, </w:t>
      </w:r>
      <w:proofErr w:type="spellStart"/>
      <w:r w:rsidR="008710AA">
        <w:rPr>
          <w:sz w:val="24"/>
        </w:rPr>
        <w:t>Gotterson</w:t>
      </w:r>
      <w:proofErr w:type="spellEnd"/>
      <w:r w:rsidR="008710AA">
        <w:rPr>
          <w:sz w:val="24"/>
        </w:rPr>
        <w:t xml:space="preserve"> JA and </w:t>
      </w:r>
      <w:proofErr w:type="spellStart"/>
      <w:r w:rsidR="008710AA">
        <w:rPr>
          <w:sz w:val="24"/>
        </w:rPr>
        <w:t>Philippides</w:t>
      </w:r>
      <w:proofErr w:type="spellEnd"/>
      <w:r w:rsidR="008710AA">
        <w:rPr>
          <w:sz w:val="24"/>
        </w:rPr>
        <w:t xml:space="preserve"> J)</w:t>
      </w:r>
    </w:p>
    <w:p w14:paraId="593119B7" w14:textId="77777777" w:rsidR="00037112" w:rsidRDefault="008710AA">
      <w:pPr>
        <w:pStyle w:val="Heading1"/>
        <w:spacing w:before="198"/>
        <w:ind w:right="166"/>
        <w:jc w:val="both"/>
      </w:pPr>
      <w:r>
        <w:t xml:space="preserve">Crown appeal - child sexual assault - 12 year old offender, Aboriginal background - functioned as 9 year old at time of offending - FASD may have indirectly contributed to offences: </w:t>
      </w:r>
      <w:r>
        <w:rPr>
          <w:b/>
        </w:rPr>
        <w:t xml:space="preserve">at [9] </w:t>
      </w:r>
      <w:r>
        <w:t>- supervision order, no conviction recorded – Crown appeal dismissed</w:t>
      </w:r>
    </w:p>
    <w:p w14:paraId="593119B8" w14:textId="77777777" w:rsidR="00037112" w:rsidRDefault="00037112">
      <w:pPr>
        <w:pStyle w:val="BodyText"/>
        <w:spacing w:before="6"/>
        <w:ind w:left="0"/>
        <w:rPr>
          <w:i/>
          <w:sz w:val="27"/>
        </w:rPr>
      </w:pPr>
    </w:p>
    <w:p w14:paraId="593119B9" w14:textId="77777777" w:rsidR="00037112" w:rsidRDefault="008710AA">
      <w:pPr>
        <w:pStyle w:val="ListParagraph"/>
        <w:numPr>
          <w:ilvl w:val="0"/>
          <w:numId w:val="1"/>
        </w:numPr>
        <w:tabs>
          <w:tab w:val="left" w:pos="832"/>
        </w:tabs>
        <w:spacing w:line="273" w:lineRule="auto"/>
        <w:ind w:right="171"/>
        <w:jc w:val="both"/>
      </w:pPr>
      <w:r>
        <w:t>Pre-sentence report based on interview with offender, mother, consultations with psychologist and counsellor and psychiatric</w:t>
      </w:r>
      <w:r>
        <w:rPr>
          <w:spacing w:val="1"/>
        </w:rPr>
        <w:t xml:space="preserve"> </w:t>
      </w:r>
      <w:r>
        <w:t>assessment.</w:t>
      </w:r>
    </w:p>
    <w:p w14:paraId="593119BA" w14:textId="77777777" w:rsidR="00037112" w:rsidRDefault="008710AA">
      <w:pPr>
        <w:pStyle w:val="BodyText"/>
        <w:spacing w:before="4"/>
        <w:jc w:val="both"/>
      </w:pPr>
      <w:r>
        <w:t xml:space="preserve">Although aged 12 at time of offending, respondent’s mental age was 9: </w:t>
      </w:r>
      <w:r>
        <w:rPr>
          <w:b/>
        </w:rPr>
        <w:t>at [8], [22]</w:t>
      </w:r>
      <w:r>
        <w:t>.</w:t>
      </w:r>
    </w:p>
    <w:p w14:paraId="593119BB" w14:textId="77777777" w:rsidR="00037112" w:rsidRDefault="008710AA">
      <w:pPr>
        <w:pStyle w:val="BodyText"/>
        <w:spacing w:before="37" w:line="276" w:lineRule="auto"/>
        <w:ind w:right="168"/>
        <w:jc w:val="both"/>
        <w:rPr>
          <w:b/>
        </w:rPr>
      </w:pPr>
      <w:r>
        <w:t xml:space="preserve">Lack of appropriate sexual education and developmental immaturity arising from FASD may have contributed to offending: </w:t>
      </w:r>
      <w:r>
        <w:rPr>
          <w:b/>
        </w:rPr>
        <w:t>at [8]-[9].</w:t>
      </w:r>
    </w:p>
    <w:p w14:paraId="593119BC" w14:textId="77777777" w:rsidR="00037112" w:rsidRDefault="008710AA">
      <w:pPr>
        <w:pStyle w:val="BodyText"/>
        <w:spacing w:line="276" w:lineRule="auto"/>
        <w:ind w:right="167"/>
        <w:jc w:val="both"/>
      </w:pPr>
      <w:r>
        <w:t xml:space="preserve">FASD can result in: cognitive and behavioural deficits including mental retardation, learning difficulties, hyperactivity, attention deficits and poor social skills, impulsiveness, difficulty foreseeing consequences of actions, poor sense of personal boundaries, lack of judgment and susceptibility to peer pressure: </w:t>
      </w:r>
      <w:r>
        <w:rPr>
          <w:b/>
        </w:rPr>
        <w:t>at</w:t>
      </w:r>
      <w:r>
        <w:rPr>
          <w:b/>
          <w:spacing w:val="-4"/>
        </w:rPr>
        <w:t xml:space="preserve"> </w:t>
      </w:r>
      <w:r>
        <w:rPr>
          <w:b/>
        </w:rPr>
        <w:t>[9]</w:t>
      </w:r>
      <w:r>
        <w:t>.</w:t>
      </w:r>
    </w:p>
    <w:p w14:paraId="593119BD" w14:textId="77777777" w:rsidR="00037112" w:rsidRDefault="008710AA">
      <w:pPr>
        <w:pStyle w:val="ListParagraph"/>
        <w:numPr>
          <w:ilvl w:val="0"/>
          <w:numId w:val="1"/>
        </w:numPr>
        <w:tabs>
          <w:tab w:val="left" w:pos="832"/>
        </w:tabs>
        <w:spacing w:line="276" w:lineRule="auto"/>
        <w:ind w:right="166"/>
        <w:jc w:val="both"/>
      </w:pPr>
      <w:r>
        <w:t xml:space="preserve">This is not a case where detention had to be imposed: </w:t>
      </w:r>
      <w:r>
        <w:rPr>
          <w:b/>
        </w:rPr>
        <w:t>at [46]</w:t>
      </w:r>
      <w:r>
        <w:t xml:space="preserve">. The respondent’s age, both actual and mental, and absence of any convictions or offending strongly militated against the recording of a conviction: </w:t>
      </w:r>
      <w:r>
        <w:rPr>
          <w:b/>
        </w:rPr>
        <w:t>at</w:t>
      </w:r>
      <w:r>
        <w:rPr>
          <w:b/>
          <w:spacing w:val="-4"/>
        </w:rPr>
        <w:t xml:space="preserve"> </w:t>
      </w:r>
      <w:r>
        <w:rPr>
          <w:b/>
        </w:rPr>
        <w:t>[50]</w:t>
      </w:r>
      <w:r>
        <w:t>.</w:t>
      </w:r>
    </w:p>
    <w:sectPr w:rsidR="00037112">
      <w:headerReference w:type="even" r:id="rId14"/>
      <w:headerReference w:type="default" r:id="rId15"/>
      <w:footerReference w:type="even" r:id="rId16"/>
      <w:footerReference w:type="default" r:id="rId17"/>
      <w:headerReference w:type="first" r:id="rId18"/>
      <w:footerReference w:type="first" r:id="rId19"/>
      <w:pgSz w:w="11900" w:h="16850"/>
      <w:pgMar w:top="1540" w:right="1360" w:bottom="1480" w:left="1420" w:header="1027"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119C4" w14:textId="77777777" w:rsidR="00602FB2" w:rsidRDefault="008710AA">
      <w:r>
        <w:separator/>
      </w:r>
    </w:p>
  </w:endnote>
  <w:endnote w:type="continuationSeparator" w:id="0">
    <w:p w14:paraId="593119C6" w14:textId="77777777" w:rsidR="00602FB2" w:rsidRDefault="0087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7C8C" w14:textId="77777777" w:rsidR="00C7557B" w:rsidRDefault="00C7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19BF" w14:textId="77777777" w:rsidR="00037112" w:rsidRDefault="007D73D7">
    <w:pPr>
      <w:pStyle w:val="BodyText"/>
      <w:spacing w:line="14" w:lineRule="auto"/>
      <w:ind w:left="0"/>
      <w:rPr>
        <w:sz w:val="20"/>
      </w:rPr>
    </w:pPr>
    <w:r>
      <w:pict w14:anchorId="593119C3">
        <v:shapetype id="_x0000_t202" coordsize="21600,21600" o:spt="202" path="m,l,21600r21600,l21600,xe">
          <v:stroke joinstyle="miter"/>
          <v:path gradientshapeok="t" o:connecttype="rect"/>
        </v:shapetype>
        <v:shape id="_x0000_s1025" type="#_x0000_t202" style="position:absolute;margin-left:510pt;margin-top:766.7pt;width:11.55pt;height:13.15pt;z-index:-251770880;mso-position-horizontal-relative:page;mso-position-vertical-relative:page" filled="f" stroked="f">
          <v:textbox inset="0,0,0,0">
            <w:txbxContent>
              <w:p w14:paraId="593119C6" w14:textId="77777777" w:rsidR="00037112" w:rsidRDefault="008710AA">
                <w:pPr>
                  <w:spacing w:before="12"/>
                  <w:ind w:left="60"/>
                  <w:rPr>
                    <w:rFonts w:ascii="Arial"/>
                    <w:sz w:val="20"/>
                  </w:rPr>
                </w:pPr>
                <w:r>
                  <w:fldChar w:fldCharType="begin"/>
                </w:r>
                <w:r>
                  <w:rPr>
                    <w:rFonts w:ascii="Arial"/>
                    <w:w w:val="99"/>
                    <w:sz w:val="20"/>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4F15" w14:textId="77777777" w:rsidR="00C7557B" w:rsidRDefault="00C75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119C0" w14:textId="77777777" w:rsidR="00602FB2" w:rsidRDefault="008710AA">
      <w:r>
        <w:separator/>
      </w:r>
    </w:p>
  </w:footnote>
  <w:footnote w:type="continuationSeparator" w:id="0">
    <w:p w14:paraId="593119C2" w14:textId="77777777" w:rsidR="00602FB2" w:rsidRDefault="0087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B0582" w14:textId="77777777" w:rsidR="00C7557B" w:rsidRDefault="00C7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19BE" w14:textId="77777777" w:rsidR="00037112" w:rsidRDefault="007D73D7">
    <w:pPr>
      <w:pStyle w:val="BodyText"/>
      <w:spacing w:line="14" w:lineRule="auto"/>
      <w:ind w:left="0"/>
      <w:rPr>
        <w:sz w:val="20"/>
      </w:rPr>
    </w:pPr>
    <w:r>
      <w:pict w14:anchorId="593119C0">
        <v:line id="_x0000_s1028" style="position:absolute;z-index:-251773952;mso-position-horizontal-relative:page;mso-position-vertical-relative:page" from="75.15pt,63.85pt" to="520.05pt,63.85pt" strokeweight=".48pt">
          <w10:wrap anchorx="page" anchory="page"/>
        </v:line>
      </w:pict>
    </w:r>
    <w:r>
      <w:pict w14:anchorId="593119C1">
        <v:shapetype id="_x0000_t202" coordsize="21600,21600" o:spt="202" path="m,l,21600r21600,l21600,xe">
          <v:stroke joinstyle="miter"/>
          <v:path gradientshapeok="t" o:connecttype="rect"/>
        </v:shapetype>
        <v:shape id="_x0000_s1027" type="#_x0000_t202" style="position:absolute;margin-left:75.6pt;margin-top:50.35pt;width:97.05pt;height:13.15pt;z-index:-251772928;mso-position-horizontal-relative:page;mso-position-vertical-relative:page" filled="f" stroked="f">
          <v:textbox inset="0,0,0,0">
            <w:txbxContent>
              <w:p w14:paraId="593119C4" w14:textId="77777777" w:rsidR="00037112" w:rsidRDefault="008710AA">
                <w:pPr>
                  <w:spacing w:before="12"/>
                  <w:ind w:left="20"/>
                  <w:rPr>
                    <w:rFonts w:ascii="Arial"/>
                    <w:sz w:val="20"/>
                  </w:rPr>
                </w:pPr>
                <w:r>
                  <w:rPr>
                    <w:rFonts w:ascii="Arial"/>
                    <w:sz w:val="20"/>
                  </w:rPr>
                  <w:t>The Bar Book Project</w:t>
                </w:r>
              </w:p>
            </w:txbxContent>
          </v:textbox>
          <w10:wrap anchorx="page" anchory="page"/>
        </v:shape>
      </w:pict>
    </w:r>
    <w:r>
      <w:pict w14:anchorId="593119C2">
        <v:shape id="_x0000_s1026" type="#_x0000_t202" style="position:absolute;margin-left:446.35pt;margin-top:50.35pt;width:72.85pt;height:13.15pt;z-index:-251771904;mso-position-horizontal-relative:page;mso-position-vertical-relative:page" filled="f" stroked="f">
          <v:textbox inset="0,0,0,0">
            <w:txbxContent>
              <w:p w14:paraId="593119C5" w14:textId="4A71152C" w:rsidR="00037112" w:rsidRDefault="00C7557B">
                <w:pPr>
                  <w:spacing w:before="12"/>
                  <w:ind w:left="20"/>
                  <w:rPr>
                    <w:rFonts w:ascii="Arial"/>
                    <w:sz w:val="20"/>
                  </w:rPr>
                </w:pPr>
                <w:r>
                  <w:rPr>
                    <w:rFonts w:ascii="Arial"/>
                    <w:sz w:val="20"/>
                  </w:rPr>
                  <w:t>March 2022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FFAA" w14:textId="77777777" w:rsidR="00C7557B" w:rsidRDefault="00C75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34D5"/>
    <w:multiLevelType w:val="hybridMultilevel"/>
    <w:tmpl w:val="F84E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AC48AE"/>
    <w:multiLevelType w:val="hybridMultilevel"/>
    <w:tmpl w:val="E89A1EA0"/>
    <w:lvl w:ilvl="0" w:tplc="2CF8A280">
      <w:numFmt w:val="bullet"/>
      <w:lvlText w:val=""/>
      <w:lvlJc w:val="left"/>
      <w:pPr>
        <w:ind w:left="831" w:hanging="360"/>
      </w:pPr>
      <w:rPr>
        <w:rFonts w:ascii="Symbol" w:eastAsia="Symbol" w:hAnsi="Symbol" w:cs="Symbol" w:hint="default"/>
        <w:w w:val="100"/>
        <w:sz w:val="22"/>
        <w:szCs w:val="22"/>
        <w:lang w:val="en-AU" w:eastAsia="en-AU" w:bidi="en-AU"/>
      </w:rPr>
    </w:lvl>
    <w:lvl w:ilvl="1" w:tplc="9780B324">
      <w:numFmt w:val="bullet"/>
      <w:lvlText w:val="•"/>
      <w:lvlJc w:val="left"/>
      <w:pPr>
        <w:ind w:left="1667" w:hanging="360"/>
      </w:pPr>
      <w:rPr>
        <w:rFonts w:hint="default"/>
        <w:lang w:val="en-AU" w:eastAsia="en-AU" w:bidi="en-AU"/>
      </w:rPr>
    </w:lvl>
    <w:lvl w:ilvl="2" w:tplc="FB64E69E">
      <w:numFmt w:val="bullet"/>
      <w:lvlText w:val="•"/>
      <w:lvlJc w:val="left"/>
      <w:pPr>
        <w:ind w:left="2495" w:hanging="360"/>
      </w:pPr>
      <w:rPr>
        <w:rFonts w:hint="default"/>
        <w:lang w:val="en-AU" w:eastAsia="en-AU" w:bidi="en-AU"/>
      </w:rPr>
    </w:lvl>
    <w:lvl w:ilvl="3" w:tplc="E2BE0FEC">
      <w:numFmt w:val="bullet"/>
      <w:lvlText w:val="•"/>
      <w:lvlJc w:val="left"/>
      <w:pPr>
        <w:ind w:left="3323" w:hanging="360"/>
      </w:pPr>
      <w:rPr>
        <w:rFonts w:hint="default"/>
        <w:lang w:val="en-AU" w:eastAsia="en-AU" w:bidi="en-AU"/>
      </w:rPr>
    </w:lvl>
    <w:lvl w:ilvl="4" w:tplc="17986CC4">
      <w:numFmt w:val="bullet"/>
      <w:lvlText w:val="•"/>
      <w:lvlJc w:val="left"/>
      <w:pPr>
        <w:ind w:left="4151" w:hanging="360"/>
      </w:pPr>
      <w:rPr>
        <w:rFonts w:hint="default"/>
        <w:lang w:val="en-AU" w:eastAsia="en-AU" w:bidi="en-AU"/>
      </w:rPr>
    </w:lvl>
    <w:lvl w:ilvl="5" w:tplc="3C2A6C5E">
      <w:numFmt w:val="bullet"/>
      <w:lvlText w:val="•"/>
      <w:lvlJc w:val="left"/>
      <w:pPr>
        <w:ind w:left="4979" w:hanging="360"/>
      </w:pPr>
      <w:rPr>
        <w:rFonts w:hint="default"/>
        <w:lang w:val="en-AU" w:eastAsia="en-AU" w:bidi="en-AU"/>
      </w:rPr>
    </w:lvl>
    <w:lvl w:ilvl="6" w:tplc="D5105F74">
      <w:numFmt w:val="bullet"/>
      <w:lvlText w:val="•"/>
      <w:lvlJc w:val="left"/>
      <w:pPr>
        <w:ind w:left="5807" w:hanging="360"/>
      </w:pPr>
      <w:rPr>
        <w:rFonts w:hint="default"/>
        <w:lang w:val="en-AU" w:eastAsia="en-AU" w:bidi="en-AU"/>
      </w:rPr>
    </w:lvl>
    <w:lvl w:ilvl="7" w:tplc="3AB6B87C">
      <w:numFmt w:val="bullet"/>
      <w:lvlText w:val="•"/>
      <w:lvlJc w:val="left"/>
      <w:pPr>
        <w:ind w:left="6635" w:hanging="360"/>
      </w:pPr>
      <w:rPr>
        <w:rFonts w:hint="default"/>
        <w:lang w:val="en-AU" w:eastAsia="en-AU" w:bidi="en-AU"/>
      </w:rPr>
    </w:lvl>
    <w:lvl w:ilvl="8" w:tplc="F7C02616">
      <w:numFmt w:val="bullet"/>
      <w:lvlText w:val="•"/>
      <w:lvlJc w:val="left"/>
      <w:pPr>
        <w:ind w:left="7463" w:hanging="360"/>
      </w:pPr>
      <w:rPr>
        <w:rFonts w:hint="default"/>
        <w:lang w:val="en-AU" w:eastAsia="en-AU" w:bidi="en-AU"/>
      </w:rPr>
    </w:lvl>
  </w:abstractNum>
  <w:abstractNum w:abstractNumId="2" w15:restartNumberingAfterBreak="0">
    <w:nsid w:val="50AE6E38"/>
    <w:multiLevelType w:val="hybridMultilevel"/>
    <w:tmpl w:val="6FA6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0730F9"/>
    <w:multiLevelType w:val="hybridMultilevel"/>
    <w:tmpl w:val="E2C43B5C"/>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37112"/>
    <w:rsid w:val="0003060E"/>
    <w:rsid w:val="00037112"/>
    <w:rsid w:val="000960AD"/>
    <w:rsid w:val="00126434"/>
    <w:rsid w:val="00220315"/>
    <w:rsid w:val="0031588F"/>
    <w:rsid w:val="00360633"/>
    <w:rsid w:val="00602FB2"/>
    <w:rsid w:val="007662FC"/>
    <w:rsid w:val="007D73D7"/>
    <w:rsid w:val="008710AA"/>
    <w:rsid w:val="00C7557B"/>
    <w:rsid w:val="00DE63E1"/>
    <w:rsid w:val="00E01F39"/>
    <w:rsid w:val="00E40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1986"/>
  <w15:docId w15:val="{85A6F29C-B527-471A-B693-F596EB09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AU" w:eastAsia="en-AU" w:bidi="en-AU"/>
    </w:rPr>
  </w:style>
  <w:style w:type="paragraph" w:styleId="Heading1">
    <w:name w:val="heading 1"/>
    <w:basedOn w:val="Normal"/>
    <w:uiPriority w:val="9"/>
    <w:qFormat/>
    <w:pPr>
      <w:ind w:left="111"/>
      <w:outlineLvl w:val="0"/>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1"/>
    </w:p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0E33"/>
    <w:rPr>
      <w:color w:val="0000FF" w:themeColor="hyperlink"/>
      <w:u w:val="single"/>
    </w:rPr>
  </w:style>
  <w:style w:type="character" w:styleId="UnresolvedMention">
    <w:name w:val="Unresolved Mention"/>
    <w:basedOn w:val="DefaultParagraphFont"/>
    <w:uiPriority w:val="99"/>
    <w:semiHidden/>
    <w:unhideWhenUsed/>
    <w:rsid w:val="00E40E33"/>
    <w:rPr>
      <w:color w:val="605E5C"/>
      <w:shd w:val="clear" w:color="auto" w:fill="E1DFDD"/>
    </w:rPr>
  </w:style>
  <w:style w:type="paragraph" w:styleId="NormalWeb">
    <w:name w:val="Normal (Web)"/>
    <w:basedOn w:val="Normal"/>
    <w:uiPriority w:val="99"/>
    <w:unhideWhenUsed/>
    <w:rsid w:val="007662FC"/>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C7557B"/>
    <w:pPr>
      <w:tabs>
        <w:tab w:val="center" w:pos="4513"/>
        <w:tab w:val="right" w:pos="9026"/>
      </w:tabs>
    </w:pPr>
  </w:style>
  <w:style w:type="character" w:customStyle="1" w:styleId="HeaderChar">
    <w:name w:val="Header Char"/>
    <w:basedOn w:val="DefaultParagraphFont"/>
    <w:link w:val="Header"/>
    <w:uiPriority w:val="99"/>
    <w:rsid w:val="00C7557B"/>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C7557B"/>
    <w:pPr>
      <w:tabs>
        <w:tab w:val="center" w:pos="4513"/>
        <w:tab w:val="right" w:pos="9026"/>
      </w:tabs>
    </w:pPr>
  </w:style>
  <w:style w:type="character" w:customStyle="1" w:styleId="FooterChar">
    <w:name w:val="Footer Char"/>
    <w:basedOn w:val="DefaultParagraphFont"/>
    <w:link w:val="Footer"/>
    <w:uiPriority w:val="99"/>
    <w:rsid w:val="00C7557B"/>
    <w:rPr>
      <w:rFonts w:ascii="Times New Roman" w:eastAsia="Times New Roman" w:hAnsi="Times New Roman" w:cs="Times New Roman"/>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cases/wa/WASCA/2021/96.html" TargetMode="External"/><Relationship Id="rId13" Type="http://schemas.openxmlformats.org/officeDocument/2006/relationships/hyperlink" Target="https://www.austlii.edu.au/cgi-bin/viewdoc/au/cases/qld/QCA/2012/202.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ustlii.edu.au/cgi-bin/viewdoc/au/cases/nsw/NSWSC/2021/826.html" TargetMode="External"/><Relationship Id="rId12" Type="http://schemas.openxmlformats.org/officeDocument/2006/relationships/hyperlink" Target="http://www.nzlii.org/nz/cases/NZCA/2017/15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lii.edu.au/cgi-bin/viewdoc/au/cases/wa/WASCA/2016/146.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stlii.edu.au/cgi-bin/sinodisp/au/cases/wa/WASCA/2016/164.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stlii.edu.au/cgi-bin/sinodisp/au/cases/wa/WASCA/2016/164.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Prita Supomo</cp:lastModifiedBy>
  <cp:revision>8</cp:revision>
  <dcterms:created xsi:type="dcterms:W3CDTF">2020-12-04T04:25:00Z</dcterms:created>
  <dcterms:modified xsi:type="dcterms:W3CDTF">2022-03-02T23:19:00Z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2010</vt:lpwstr>
  </property>
  <property fmtid="{D5CDD505-2E9C-101B-9397-08002B2CF9AE}" pid="4" name="LastSaved">
    <vt:filetime>2020-12-04T00:00:00Z</vt:filetime>
  </property>
</Properties>
</file>